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7D52" w14:textId="77777777" w:rsidR="009812D2" w:rsidRDefault="009812D2" w:rsidP="009812D2">
      <w:pPr>
        <w:pStyle w:val="Titre"/>
        <w:jc w:val="center"/>
      </w:pPr>
      <w:r>
        <w:t>Usages concernant l’inscription en Master d’étudiants provenant d’un premier cycle dans un autre établissement</w:t>
      </w:r>
    </w:p>
    <w:p w14:paraId="4D1F8E33" w14:textId="77777777" w:rsidR="009812D2" w:rsidRDefault="009812D2" w:rsidP="009812D2">
      <w:pPr>
        <w:autoSpaceDE w:val="0"/>
        <w:autoSpaceDN w:val="0"/>
        <w:adjustRightInd w:val="0"/>
        <w:jc w:val="both"/>
        <w:rPr>
          <w:b/>
          <w:bCs/>
        </w:rPr>
      </w:pPr>
    </w:p>
    <w:p w14:paraId="4E9F2B72" w14:textId="77777777" w:rsidR="009812D2" w:rsidRDefault="009812D2" w:rsidP="009812D2">
      <w:pPr>
        <w:autoSpaceDE w:val="0"/>
        <w:autoSpaceDN w:val="0"/>
        <w:adjustRightInd w:val="0"/>
        <w:jc w:val="both"/>
        <w:rPr>
          <w:b/>
          <w:bCs/>
        </w:rPr>
      </w:pPr>
    </w:p>
    <w:p w14:paraId="4B5283FD" w14:textId="3C518202" w:rsidR="009812D2" w:rsidRPr="00C04917" w:rsidRDefault="009812D2" w:rsidP="009812D2">
      <w:pPr>
        <w:pStyle w:val="Titre1"/>
      </w:pPr>
      <w:r>
        <w:t>Accès aux</w:t>
      </w:r>
      <w:r w:rsidRPr="00C04917">
        <w:t xml:space="preserve"> Masters </w:t>
      </w:r>
      <w:r w:rsidR="00E72071">
        <w:t>ASCEP</w:t>
      </w:r>
      <w:r w:rsidRPr="00C04917">
        <w:t>, PI, PUB, RP</w:t>
      </w:r>
    </w:p>
    <w:p w14:paraId="379E5701" w14:textId="77777777" w:rsidR="009812D2" w:rsidRDefault="009812D2" w:rsidP="009812D2">
      <w:pPr>
        <w:autoSpaceDE w:val="0"/>
        <w:autoSpaceDN w:val="0"/>
        <w:adjustRightInd w:val="0"/>
        <w:jc w:val="both"/>
        <w:rPr>
          <w:b/>
          <w:bCs/>
        </w:rPr>
      </w:pPr>
    </w:p>
    <w:p w14:paraId="507C8FE3" w14:textId="77777777" w:rsidR="009812D2" w:rsidRDefault="009812D2" w:rsidP="009812D2">
      <w:pPr>
        <w:autoSpaceDE w:val="0"/>
        <w:autoSpaceDN w:val="0"/>
        <w:adjustRightInd w:val="0"/>
        <w:jc w:val="both"/>
        <w:rPr>
          <w:b/>
          <w:bCs/>
        </w:rPr>
      </w:pPr>
    </w:p>
    <w:p w14:paraId="55A8DF17" w14:textId="77777777" w:rsidR="009812D2" w:rsidRPr="00C04917" w:rsidRDefault="009812D2" w:rsidP="009812D2">
      <w:pPr>
        <w:autoSpaceDE w:val="0"/>
        <w:autoSpaceDN w:val="0"/>
        <w:adjustRightInd w:val="0"/>
        <w:jc w:val="both"/>
        <w:rPr>
          <w:b/>
          <w:bCs/>
        </w:rPr>
      </w:pPr>
      <w:r w:rsidRPr="00C04917">
        <w:rPr>
          <w:b/>
          <w:bCs/>
        </w:rPr>
        <w:t xml:space="preserve">Programme complémentaire à destination des étudiants intégrant un Master en provenant d’une université ou d’une haute école de type court. </w:t>
      </w:r>
    </w:p>
    <w:p w14:paraId="4A835736" w14:textId="77777777" w:rsidR="009812D2" w:rsidRDefault="009812D2" w:rsidP="009812D2">
      <w:pPr>
        <w:autoSpaceDE w:val="0"/>
        <w:autoSpaceDN w:val="0"/>
        <w:adjustRightInd w:val="0"/>
        <w:jc w:val="both"/>
      </w:pPr>
    </w:p>
    <w:p w14:paraId="2BB59500" w14:textId="77777777" w:rsidR="009812D2" w:rsidRDefault="009812D2" w:rsidP="009812D2">
      <w:pPr>
        <w:autoSpaceDE w:val="0"/>
        <w:autoSpaceDN w:val="0"/>
        <w:adjustRightInd w:val="0"/>
        <w:jc w:val="both"/>
      </w:pPr>
      <w:r w:rsidRPr="00CA7C2C">
        <w:t>En vertu de</w:t>
      </w:r>
      <w:r>
        <w:t xml:space="preserve"> l’</w:t>
      </w:r>
      <w:r w:rsidRPr="00CA7C2C">
        <w:t xml:space="preserve">article 111 § 1 3°, 4° et 5°, § 2 1°, 2° et 3° </w:t>
      </w:r>
      <w:r>
        <w:t xml:space="preserve">et § 4 </w:t>
      </w:r>
      <w:r w:rsidRPr="00CA7C2C">
        <w:t>du décret définissant le paysage de l'enseignement supérieur et l'organisation académique des études</w:t>
      </w:r>
      <w:r>
        <w:t xml:space="preserve"> du 7 novembre 2013, des conditions complémentaires d’accès sont prévues pour les étudiants provenant d’un bachelier de transition en information et communication et pour les étudiants provenant d’un bachelier de type court en communication et en écriture multimédia.  Ces conditions complémentaires visent, comme le prévoit le décret, à permettre à l’étudiant d’acquérir les compétences nécessaires à intégrer avec fruit le master de son choix.  Elles prennent la forme de crédits complémentaires (unités d’enseignement de bachelier) qui s’ajoutent à l’ensemble des crédits de leur master ; ces unités font partie intégrante de leur programme d’études du second cycle.</w:t>
      </w:r>
    </w:p>
    <w:p w14:paraId="7021E76E" w14:textId="77777777" w:rsidR="009812D2" w:rsidRDefault="009812D2" w:rsidP="00E72071">
      <w:pPr>
        <w:keepNext/>
        <w:autoSpaceDE w:val="0"/>
        <w:autoSpaceDN w:val="0"/>
        <w:adjustRightInd w:val="0"/>
        <w:spacing w:before="240" w:after="120"/>
        <w:jc w:val="both"/>
        <w:rPr>
          <w:b/>
          <w:i/>
        </w:rPr>
      </w:pPr>
      <w:r w:rsidRPr="00E72071">
        <w:rPr>
          <w:b/>
          <w:i/>
        </w:rPr>
        <w:t>Complément de programme pour les étudiants provenant d’un premier cycle (bachelier de transition ou équivalent) en information et communication</w:t>
      </w:r>
    </w:p>
    <w:p w14:paraId="3857457E" w14:textId="77777777" w:rsidR="00C630B4" w:rsidRPr="00E72071" w:rsidRDefault="00C630B4" w:rsidP="00E72071">
      <w:pPr>
        <w:keepNext/>
        <w:autoSpaceDE w:val="0"/>
        <w:autoSpaceDN w:val="0"/>
        <w:adjustRightInd w:val="0"/>
        <w:spacing w:before="240" w:after="120"/>
        <w:jc w:val="both"/>
        <w:rPr>
          <w:b/>
          <w: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35"/>
        <w:gridCol w:w="1135"/>
      </w:tblGrid>
      <w:tr w:rsidR="009812D2" w:rsidRPr="00057D97" w14:paraId="7FEB1E8B" w14:textId="77777777" w:rsidTr="00C630B4">
        <w:trPr>
          <w:trHeight w:val="567"/>
          <w:jc w:val="center"/>
        </w:trPr>
        <w:tc>
          <w:tcPr>
            <w:tcW w:w="2835" w:type="dxa"/>
            <w:shd w:val="clear" w:color="auto" w:fill="D9D9D9" w:themeFill="background1" w:themeFillShade="D9"/>
            <w:vAlign w:val="center"/>
          </w:tcPr>
          <w:p w14:paraId="5FB85D45" w14:textId="172B311D"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DECO13</w:t>
            </w:r>
            <w:r w:rsidR="008211E7">
              <w:rPr>
                <w:color w:val="45B0E1" w:themeColor="accent1" w:themeTint="99"/>
              </w:rPr>
              <w:t>11</w:t>
            </w:r>
          </w:p>
        </w:tc>
        <w:tc>
          <w:tcPr>
            <w:tcW w:w="4535" w:type="dxa"/>
            <w:shd w:val="clear" w:color="auto" w:fill="D9D9D9" w:themeFill="background1" w:themeFillShade="D9"/>
            <w:vAlign w:val="center"/>
          </w:tcPr>
          <w:p w14:paraId="3EDF1913" w14:textId="662F7C91" w:rsidR="009812D2" w:rsidRPr="009812D2" w:rsidRDefault="008211E7" w:rsidP="0018404F">
            <w:pPr>
              <w:pStyle w:val="Paragraphedeliste"/>
              <w:autoSpaceDE w:val="0"/>
              <w:autoSpaceDN w:val="0"/>
              <w:adjustRightInd w:val="0"/>
              <w:ind w:left="0"/>
              <w:contextualSpacing w:val="0"/>
              <w:rPr>
                <w:color w:val="45B0E1" w:themeColor="accent1" w:themeTint="99"/>
              </w:rPr>
            </w:pPr>
            <w:r>
              <w:rPr>
                <w:color w:val="45B0E1" w:themeColor="accent1" w:themeTint="99"/>
              </w:rPr>
              <w:t>Communication visuelle et interfaces</w:t>
            </w:r>
          </w:p>
        </w:tc>
        <w:tc>
          <w:tcPr>
            <w:tcW w:w="1135" w:type="dxa"/>
            <w:shd w:val="clear" w:color="auto" w:fill="D9D9D9" w:themeFill="background1" w:themeFillShade="D9"/>
            <w:vAlign w:val="center"/>
          </w:tcPr>
          <w:p w14:paraId="0FD1D528" w14:textId="218E867A"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1</w:t>
            </w:r>
            <w:r w:rsidR="008211E7">
              <w:rPr>
                <w:color w:val="45B0E1" w:themeColor="accent1" w:themeTint="99"/>
              </w:rPr>
              <w:t xml:space="preserve">0 </w:t>
            </w:r>
            <w:r w:rsidRPr="009812D2">
              <w:rPr>
                <w:color w:val="45B0E1" w:themeColor="accent1" w:themeTint="99"/>
              </w:rPr>
              <w:t>crédits</w:t>
            </w:r>
          </w:p>
        </w:tc>
      </w:tr>
      <w:tr w:rsidR="009812D2" w:rsidRPr="00057D97" w14:paraId="31E91007" w14:textId="77777777" w:rsidTr="00C630B4">
        <w:trPr>
          <w:trHeight w:val="567"/>
          <w:jc w:val="center"/>
        </w:trPr>
        <w:tc>
          <w:tcPr>
            <w:tcW w:w="2835" w:type="dxa"/>
            <w:vAlign w:val="center"/>
          </w:tcPr>
          <w:p w14:paraId="79FFB17B"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FDPI1327 ou FDRP1327 ou FDPU1327 ou FDAS1327</w:t>
            </w:r>
          </w:p>
        </w:tc>
        <w:tc>
          <w:tcPr>
            <w:tcW w:w="4535" w:type="dxa"/>
            <w:vAlign w:val="center"/>
          </w:tcPr>
          <w:p w14:paraId="6148A69B" w14:textId="47E8559E" w:rsidR="009812D2" w:rsidRPr="009812D2" w:rsidRDefault="009812D2" w:rsidP="0018404F">
            <w:pPr>
              <w:pStyle w:val="Paragraphedeliste"/>
              <w:autoSpaceDE w:val="0"/>
              <w:autoSpaceDN w:val="0"/>
              <w:adjustRightInd w:val="0"/>
              <w:ind w:left="0"/>
              <w:contextualSpacing w:val="0"/>
              <w:rPr>
                <w:b/>
                <w:color w:val="45B0E1" w:themeColor="accent1" w:themeTint="99"/>
              </w:rPr>
            </w:pPr>
            <w:r w:rsidRPr="009812D2">
              <w:rPr>
                <w:color w:val="45B0E1" w:themeColor="accent1" w:themeTint="99"/>
              </w:rPr>
              <w:t>Pré</w:t>
            </w:r>
            <w:r w:rsidR="002F3684">
              <w:rPr>
                <w:color w:val="45B0E1" w:themeColor="accent1" w:themeTint="99"/>
              </w:rPr>
              <w:t>-</w:t>
            </w:r>
            <w:r w:rsidRPr="009812D2">
              <w:rPr>
                <w:color w:val="45B0E1" w:themeColor="accent1" w:themeTint="99"/>
              </w:rPr>
              <w:t>orientation section I (cours de fondement)</w:t>
            </w:r>
          </w:p>
        </w:tc>
        <w:tc>
          <w:tcPr>
            <w:tcW w:w="1135" w:type="dxa"/>
            <w:vAlign w:val="center"/>
          </w:tcPr>
          <w:p w14:paraId="3B2C69F1"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5 crédits</w:t>
            </w:r>
          </w:p>
        </w:tc>
      </w:tr>
      <w:tr w:rsidR="009812D2" w:rsidRPr="00057D97" w14:paraId="0E3C3488" w14:textId="77777777" w:rsidTr="00C630B4">
        <w:trPr>
          <w:trHeight w:val="425"/>
          <w:jc w:val="center"/>
        </w:trPr>
        <w:tc>
          <w:tcPr>
            <w:tcW w:w="8505" w:type="dxa"/>
            <w:gridSpan w:val="3"/>
            <w:vAlign w:val="center"/>
          </w:tcPr>
          <w:p w14:paraId="69193143" w14:textId="77777777" w:rsidR="00E72071" w:rsidRDefault="00E72071" w:rsidP="009812D2">
            <w:pPr>
              <w:pStyle w:val="Paragraphedeliste"/>
              <w:autoSpaceDE w:val="0"/>
              <w:autoSpaceDN w:val="0"/>
              <w:adjustRightInd w:val="0"/>
              <w:ind w:left="0"/>
              <w:contextualSpacing w:val="0"/>
            </w:pPr>
          </w:p>
          <w:p w14:paraId="49138E05" w14:textId="05987EBB" w:rsidR="009812D2" w:rsidRPr="00C630B4" w:rsidRDefault="00E72071" w:rsidP="00C630B4">
            <w:pPr>
              <w:pStyle w:val="Paragraphedeliste"/>
              <w:autoSpaceDE w:val="0"/>
              <w:autoSpaceDN w:val="0"/>
              <w:adjustRightInd w:val="0"/>
              <w:ind w:left="0"/>
              <w:contextualSpacing w:val="0"/>
              <w:jc w:val="center"/>
              <w:rPr>
                <w:b/>
                <w:bCs/>
              </w:rPr>
            </w:pPr>
            <w:r w:rsidRPr="00C630B4">
              <w:rPr>
                <w:b/>
                <w:bCs/>
              </w:rPr>
              <w:t>Soit</w:t>
            </w:r>
            <w:r w:rsidR="009812D2" w:rsidRPr="00C630B4">
              <w:rPr>
                <w:b/>
                <w:bCs/>
              </w:rPr>
              <w:t xml:space="preserve"> un total de </w:t>
            </w:r>
            <w:r w:rsidR="008211E7" w:rsidRPr="00C630B4">
              <w:rPr>
                <w:b/>
                <w:bCs/>
              </w:rPr>
              <w:t>15</w:t>
            </w:r>
            <w:r w:rsidR="009812D2" w:rsidRPr="00C630B4">
              <w:rPr>
                <w:b/>
                <w:bCs/>
              </w:rPr>
              <w:t xml:space="preserve"> crédits complémentaires répartis entre deux unité</w:t>
            </w:r>
            <w:r w:rsidR="008211E7" w:rsidRPr="00C630B4">
              <w:rPr>
                <w:b/>
                <w:bCs/>
              </w:rPr>
              <w:t>s</w:t>
            </w:r>
            <w:r w:rsidR="009812D2" w:rsidRPr="00C630B4">
              <w:rPr>
                <w:b/>
                <w:bCs/>
              </w:rPr>
              <w:t xml:space="preserve"> d’enseignement</w:t>
            </w:r>
          </w:p>
        </w:tc>
      </w:tr>
      <w:tr w:rsidR="009812D2" w:rsidRPr="00057D97" w14:paraId="273EF358" w14:textId="77777777" w:rsidTr="00C630B4">
        <w:trPr>
          <w:trHeight w:val="425"/>
          <w:jc w:val="center"/>
        </w:trPr>
        <w:tc>
          <w:tcPr>
            <w:tcW w:w="8505" w:type="dxa"/>
            <w:gridSpan w:val="3"/>
            <w:vAlign w:val="center"/>
          </w:tcPr>
          <w:p w14:paraId="61D79A15" w14:textId="4642840E" w:rsidR="009812D2" w:rsidRPr="00057D97" w:rsidRDefault="009812D2" w:rsidP="009812D2">
            <w:pPr>
              <w:pStyle w:val="Paragraphedeliste"/>
              <w:autoSpaceDE w:val="0"/>
              <w:autoSpaceDN w:val="0"/>
              <w:adjustRightInd w:val="0"/>
              <w:ind w:left="0"/>
              <w:contextualSpacing w:val="0"/>
            </w:pPr>
          </w:p>
        </w:tc>
      </w:tr>
      <w:tr w:rsidR="009812D2" w:rsidRPr="00057D97" w14:paraId="3F698803" w14:textId="77777777" w:rsidTr="00C630B4">
        <w:trPr>
          <w:trHeight w:val="425"/>
          <w:jc w:val="center"/>
        </w:trPr>
        <w:tc>
          <w:tcPr>
            <w:tcW w:w="8505" w:type="dxa"/>
            <w:gridSpan w:val="3"/>
            <w:vAlign w:val="center"/>
          </w:tcPr>
          <w:p w14:paraId="63EE135B" w14:textId="77777777" w:rsidR="009812D2" w:rsidRPr="00057D97" w:rsidRDefault="009812D2" w:rsidP="009812D2">
            <w:pPr>
              <w:pStyle w:val="Paragraphedeliste"/>
              <w:autoSpaceDE w:val="0"/>
              <w:autoSpaceDN w:val="0"/>
              <w:adjustRightInd w:val="0"/>
              <w:ind w:left="0"/>
              <w:contextualSpacing w:val="0"/>
            </w:pPr>
          </w:p>
        </w:tc>
      </w:tr>
    </w:tbl>
    <w:p w14:paraId="36B8004D" w14:textId="0D5AAB74" w:rsidR="009812D2" w:rsidRDefault="009812D2" w:rsidP="00E72071">
      <w:pPr>
        <w:autoSpaceDE w:val="0"/>
        <w:autoSpaceDN w:val="0"/>
        <w:adjustRightInd w:val="0"/>
        <w:spacing w:after="120"/>
        <w:jc w:val="both"/>
      </w:pPr>
      <w:r>
        <w:t xml:space="preserve">Ce programme complémentaire de </w:t>
      </w:r>
      <w:r w:rsidR="008211E7">
        <w:t xml:space="preserve">15 </w:t>
      </w:r>
      <w:r>
        <w:t>crédits vient s’ajouter aux 120 crédits du master choisi (en presse et information spécialisées, en communication appliquée RP, Pub ou ASCEP) pour les étudiants provenant d’un premier cycle universitaire.</w:t>
      </w:r>
    </w:p>
    <w:p w14:paraId="4BF05AF8" w14:textId="5C5DBC76" w:rsidR="009812D2" w:rsidRPr="00E91D85" w:rsidRDefault="009812D2" w:rsidP="00E72071">
      <w:pPr>
        <w:keepNext/>
        <w:autoSpaceDE w:val="0"/>
        <w:autoSpaceDN w:val="0"/>
        <w:adjustRightInd w:val="0"/>
        <w:spacing w:before="240" w:after="120"/>
        <w:jc w:val="both"/>
        <w:rPr>
          <w:b/>
          <w:i/>
          <w:color w:val="EE0000"/>
        </w:rPr>
      </w:pPr>
      <w:r w:rsidRPr="00E72071">
        <w:rPr>
          <w:b/>
          <w:i/>
        </w:rPr>
        <w:lastRenderedPageBreak/>
        <w:t>Complément de programme pour les étudiants provenant d’un premier cycle (bachelier de type court ou équivalent) en communication ou en écriture multimédia</w:t>
      </w:r>
      <w:r w:rsidR="00E91D85">
        <w:rPr>
          <w:b/>
          <w:i/>
        </w:rPr>
        <w:br/>
      </w:r>
      <w:r w:rsidR="00E91D85" w:rsidRPr="00BE113D">
        <w:rPr>
          <w:b/>
          <w:i/>
        </w:rPr>
        <w:t>Attention, à partir de l’année académique 2026-2027, le plafond ECTS pour les PAE est de 60 ECTS maximum pour les PAE.</w:t>
      </w:r>
    </w:p>
    <w:p w14:paraId="4CE45020" w14:textId="77777777" w:rsidR="00E72071" w:rsidRPr="00E72071" w:rsidRDefault="00E72071" w:rsidP="00E72071">
      <w:pPr>
        <w:keepNext/>
        <w:autoSpaceDE w:val="0"/>
        <w:autoSpaceDN w:val="0"/>
        <w:adjustRightInd w:val="0"/>
        <w:spacing w:before="240" w:after="120"/>
        <w:jc w:val="both"/>
        <w:rPr>
          <w:b/>
          <w:i/>
        </w:rPr>
      </w:pPr>
    </w:p>
    <w:tbl>
      <w:tblPr>
        <w:tblStyle w:val="TableauListe2"/>
        <w:tblW w:w="0" w:type="auto"/>
        <w:jc w:val="center"/>
        <w:tblLook w:val="04A0" w:firstRow="1" w:lastRow="0" w:firstColumn="1" w:lastColumn="0" w:noHBand="0" w:noVBand="1"/>
      </w:tblPr>
      <w:tblGrid>
        <w:gridCol w:w="2835"/>
        <w:gridCol w:w="4535"/>
        <w:gridCol w:w="1135"/>
      </w:tblGrid>
      <w:tr w:rsidR="009812D2" w:rsidRPr="00057D97" w14:paraId="2B9B35F8" w14:textId="77777777" w:rsidTr="00C630B4">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5EDEC37E"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TCOM1125</w:t>
            </w:r>
          </w:p>
        </w:tc>
        <w:tc>
          <w:tcPr>
            <w:tcW w:w="4535" w:type="dxa"/>
          </w:tcPr>
          <w:p w14:paraId="22FEAC17" w14:textId="77777777" w:rsidR="009812D2" w:rsidRPr="009812D2" w:rsidRDefault="009812D2" w:rsidP="0018404F">
            <w:pPr>
              <w:pStyle w:val="Paragraphedeliste"/>
              <w:autoSpaceDE w:val="0"/>
              <w:autoSpaceDN w:val="0"/>
              <w:adjustRightInd w:val="0"/>
              <w:ind w:left="0"/>
              <w:contextualSpacing w:val="0"/>
              <w:cnfStyle w:val="100000000000" w:firstRow="1" w:lastRow="0" w:firstColumn="0" w:lastColumn="0" w:oddVBand="0" w:evenVBand="0" w:oddHBand="0" w:evenHBand="0" w:firstRowFirstColumn="0" w:firstRowLastColumn="0" w:lastRowFirstColumn="0" w:lastRowLastColumn="0"/>
              <w:rPr>
                <w:color w:val="45B0E1" w:themeColor="accent1" w:themeTint="99"/>
              </w:rPr>
            </w:pPr>
            <w:r w:rsidRPr="009812D2">
              <w:rPr>
                <w:color w:val="45B0E1" w:themeColor="accent1" w:themeTint="99"/>
              </w:rPr>
              <w:t>Théories de la communication</w:t>
            </w:r>
          </w:p>
        </w:tc>
        <w:tc>
          <w:tcPr>
            <w:tcW w:w="1135" w:type="dxa"/>
          </w:tcPr>
          <w:p w14:paraId="1F1CB6BD" w14:textId="77777777" w:rsidR="009812D2" w:rsidRPr="009812D2" w:rsidRDefault="009812D2" w:rsidP="0018404F">
            <w:pPr>
              <w:pStyle w:val="Paragraphedeliste"/>
              <w:autoSpaceDE w:val="0"/>
              <w:autoSpaceDN w:val="0"/>
              <w:adjustRightInd w:val="0"/>
              <w:ind w:left="0"/>
              <w:contextualSpacing w:val="0"/>
              <w:cnfStyle w:val="100000000000" w:firstRow="1" w:lastRow="0" w:firstColumn="0" w:lastColumn="0" w:oddVBand="0" w:evenVBand="0" w:oddHBand="0"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9812D2" w:rsidRPr="00057D97" w14:paraId="2CF1FDF7" w14:textId="77777777" w:rsidTr="00C630B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7C72459B" w14:textId="44EF3A80"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NARA1129</w:t>
            </w:r>
          </w:p>
        </w:tc>
        <w:tc>
          <w:tcPr>
            <w:tcW w:w="4535" w:type="dxa"/>
          </w:tcPr>
          <w:p w14:paraId="46E53555" w14:textId="44B35232"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Narrations</w:t>
            </w:r>
          </w:p>
        </w:tc>
        <w:tc>
          <w:tcPr>
            <w:tcW w:w="1135" w:type="dxa"/>
          </w:tcPr>
          <w:p w14:paraId="623BD89E" w14:textId="77777777"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9812D2" w:rsidRPr="00057D97" w14:paraId="7D08ED39" w14:textId="77777777" w:rsidTr="00C630B4">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5AA8BB07"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ANTH1313</w:t>
            </w:r>
          </w:p>
        </w:tc>
        <w:tc>
          <w:tcPr>
            <w:tcW w:w="4535" w:type="dxa"/>
          </w:tcPr>
          <w:p w14:paraId="161BF4A1" w14:textId="77777777" w:rsidR="009812D2" w:rsidRPr="009812D2" w:rsidRDefault="009812D2"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color w:val="45B0E1" w:themeColor="accent1" w:themeTint="99"/>
                <w:spacing w:val="-6"/>
              </w:rPr>
            </w:pPr>
            <w:r w:rsidRPr="009812D2">
              <w:rPr>
                <w:color w:val="45B0E1" w:themeColor="accent1" w:themeTint="99"/>
                <w:spacing w:val="-6"/>
              </w:rPr>
              <w:t>Anthropologie de la culture et de la communication</w:t>
            </w:r>
          </w:p>
        </w:tc>
        <w:tc>
          <w:tcPr>
            <w:tcW w:w="1135" w:type="dxa"/>
          </w:tcPr>
          <w:p w14:paraId="49848C58" w14:textId="77777777" w:rsidR="009812D2" w:rsidRPr="009812D2" w:rsidRDefault="009812D2"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9812D2" w:rsidRPr="00057D97" w14:paraId="50E7E91D" w14:textId="77777777" w:rsidTr="00C630B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5A819B11"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LING1325</w:t>
            </w:r>
          </w:p>
        </w:tc>
        <w:tc>
          <w:tcPr>
            <w:tcW w:w="4535" w:type="dxa"/>
          </w:tcPr>
          <w:p w14:paraId="3926C2A7" w14:textId="77777777"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Linguistique, sémiologie et herméneutique</w:t>
            </w:r>
          </w:p>
        </w:tc>
        <w:tc>
          <w:tcPr>
            <w:tcW w:w="1135" w:type="dxa"/>
          </w:tcPr>
          <w:p w14:paraId="1F065497" w14:textId="77777777"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086948" w:rsidRPr="007B779E" w14:paraId="22F9D674" w14:textId="77777777" w:rsidTr="00C630B4">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3EDDE67A" w14:textId="1F29D8F6" w:rsidR="00086948" w:rsidRPr="009812D2" w:rsidRDefault="00086948" w:rsidP="0018404F">
            <w:pPr>
              <w:pStyle w:val="Paragraphedeliste"/>
              <w:autoSpaceDE w:val="0"/>
              <w:autoSpaceDN w:val="0"/>
              <w:adjustRightInd w:val="0"/>
              <w:ind w:left="0"/>
              <w:contextualSpacing w:val="0"/>
              <w:rPr>
                <w:color w:val="45B0E1" w:themeColor="accent1" w:themeTint="99"/>
              </w:rPr>
            </w:pPr>
            <w:r>
              <w:rPr>
                <w:color w:val="45B0E1" w:themeColor="accent1" w:themeTint="99"/>
              </w:rPr>
              <w:t>LANG1322</w:t>
            </w:r>
          </w:p>
        </w:tc>
        <w:tc>
          <w:tcPr>
            <w:tcW w:w="4535" w:type="dxa"/>
          </w:tcPr>
          <w:p w14:paraId="61DFA90A" w14:textId="3578D581" w:rsidR="00086948" w:rsidRPr="009812D2" w:rsidRDefault="00086948"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color w:val="45B0E1" w:themeColor="accent1" w:themeTint="99"/>
              </w:rPr>
            </w:pPr>
            <w:r>
              <w:rPr>
                <w:color w:val="45B0E1" w:themeColor="accent1" w:themeTint="99"/>
              </w:rPr>
              <w:t>Projets Langues</w:t>
            </w:r>
          </w:p>
        </w:tc>
        <w:tc>
          <w:tcPr>
            <w:tcW w:w="1135" w:type="dxa"/>
          </w:tcPr>
          <w:p w14:paraId="5C64D2DA" w14:textId="3B20C5FD" w:rsidR="00086948" w:rsidRDefault="00086948"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color w:val="45B0E1" w:themeColor="accent1" w:themeTint="99"/>
              </w:rPr>
            </w:pPr>
            <w:r>
              <w:rPr>
                <w:color w:val="45B0E1" w:themeColor="accent1" w:themeTint="99"/>
              </w:rPr>
              <w:t>5 crédits</w:t>
            </w:r>
          </w:p>
        </w:tc>
      </w:tr>
      <w:tr w:rsidR="009812D2" w:rsidRPr="00057D97" w14:paraId="490C3DC0" w14:textId="77777777" w:rsidTr="00C630B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1D26D2EC" w14:textId="77777777"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FDPI1327 ou FDRP1327 ou FDPU1327 ou FDAS1327</w:t>
            </w:r>
          </w:p>
        </w:tc>
        <w:tc>
          <w:tcPr>
            <w:tcW w:w="4535" w:type="dxa"/>
          </w:tcPr>
          <w:p w14:paraId="75766AA4" w14:textId="37296278"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Pré</w:t>
            </w:r>
            <w:r w:rsidR="002F3684">
              <w:rPr>
                <w:color w:val="45B0E1" w:themeColor="accent1" w:themeTint="99"/>
              </w:rPr>
              <w:t>-</w:t>
            </w:r>
            <w:r w:rsidRPr="009812D2">
              <w:rPr>
                <w:color w:val="45B0E1" w:themeColor="accent1" w:themeTint="99"/>
              </w:rPr>
              <w:t>orientation section I</w:t>
            </w:r>
            <w:r w:rsidR="0019065B">
              <w:rPr>
                <w:color w:val="45B0E1" w:themeColor="accent1" w:themeTint="99"/>
              </w:rPr>
              <w:t>I</w:t>
            </w:r>
          </w:p>
        </w:tc>
        <w:tc>
          <w:tcPr>
            <w:tcW w:w="1135" w:type="dxa"/>
          </w:tcPr>
          <w:p w14:paraId="5AE61DA6" w14:textId="77777777" w:rsidR="009812D2" w:rsidRPr="009812D2" w:rsidRDefault="009812D2" w:rsidP="0018404F">
            <w:pPr>
              <w:pStyle w:val="Paragraphedeliste"/>
              <w:autoSpaceDE w:val="0"/>
              <w:autoSpaceDN w:val="0"/>
              <w:adjustRightInd w:val="0"/>
              <w:ind w:left="0"/>
              <w:contextualSpacing w:val="0"/>
              <w:cnfStyle w:val="000000100000" w:firstRow="0" w:lastRow="0" w:firstColumn="0" w:lastColumn="0" w:oddVBand="0" w:evenVBand="0" w:oddHBand="1"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9812D2" w:rsidRPr="00057D97" w14:paraId="44415035" w14:textId="77777777" w:rsidTr="00C630B4">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Pr>
          <w:p w14:paraId="75A9BD6C" w14:textId="777910B4" w:rsidR="009812D2" w:rsidRPr="009812D2" w:rsidRDefault="009812D2" w:rsidP="0018404F">
            <w:pPr>
              <w:pStyle w:val="Paragraphedeliste"/>
              <w:autoSpaceDE w:val="0"/>
              <w:autoSpaceDN w:val="0"/>
              <w:adjustRightInd w:val="0"/>
              <w:ind w:left="0"/>
              <w:contextualSpacing w:val="0"/>
              <w:rPr>
                <w:color w:val="45B0E1" w:themeColor="accent1" w:themeTint="99"/>
              </w:rPr>
            </w:pPr>
            <w:r w:rsidRPr="009812D2">
              <w:rPr>
                <w:color w:val="45B0E1" w:themeColor="accent1" w:themeTint="99"/>
              </w:rPr>
              <w:t>PECO13</w:t>
            </w:r>
            <w:r w:rsidR="0019065B">
              <w:rPr>
                <w:color w:val="45B0E1" w:themeColor="accent1" w:themeTint="99"/>
              </w:rPr>
              <w:t>1</w:t>
            </w:r>
            <w:r w:rsidRPr="009812D2">
              <w:rPr>
                <w:color w:val="45B0E1" w:themeColor="accent1" w:themeTint="99"/>
              </w:rPr>
              <w:t xml:space="preserve">8 ou </w:t>
            </w:r>
            <w:r w:rsidR="0019065B">
              <w:rPr>
                <w:color w:val="45B0E1" w:themeColor="accent1" w:themeTint="99"/>
              </w:rPr>
              <w:t>CULT1318</w:t>
            </w:r>
            <w:r w:rsidRPr="009812D2">
              <w:rPr>
                <w:color w:val="45B0E1" w:themeColor="accent1" w:themeTint="99"/>
              </w:rPr>
              <w:t xml:space="preserve"> ou </w:t>
            </w:r>
            <w:r w:rsidR="0019065B">
              <w:rPr>
                <w:color w:val="45B0E1" w:themeColor="accent1" w:themeTint="99"/>
              </w:rPr>
              <w:t>ENIN1318</w:t>
            </w:r>
            <w:r w:rsidRPr="009812D2">
              <w:rPr>
                <w:color w:val="45B0E1" w:themeColor="accent1" w:themeTint="99"/>
              </w:rPr>
              <w:t xml:space="preserve"> ou </w:t>
            </w:r>
            <w:r w:rsidR="0019065B">
              <w:rPr>
                <w:color w:val="45B0E1" w:themeColor="accent1" w:themeTint="99"/>
              </w:rPr>
              <w:t>GPDG1318</w:t>
            </w:r>
          </w:p>
        </w:tc>
        <w:tc>
          <w:tcPr>
            <w:tcW w:w="4535" w:type="dxa"/>
          </w:tcPr>
          <w:p w14:paraId="0BD4CDCD" w14:textId="49B367CA" w:rsidR="009812D2" w:rsidRPr="009812D2" w:rsidRDefault="009812D2"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b/>
                <w:color w:val="45B0E1" w:themeColor="accent1" w:themeTint="99"/>
              </w:rPr>
            </w:pPr>
            <w:r w:rsidRPr="009812D2">
              <w:rPr>
                <w:color w:val="45B0E1" w:themeColor="accent1" w:themeTint="99"/>
              </w:rPr>
              <w:t>Pré</w:t>
            </w:r>
            <w:r w:rsidR="002F3684">
              <w:rPr>
                <w:color w:val="45B0E1" w:themeColor="accent1" w:themeTint="99"/>
              </w:rPr>
              <w:t>-</w:t>
            </w:r>
            <w:r w:rsidRPr="009812D2">
              <w:rPr>
                <w:color w:val="45B0E1" w:themeColor="accent1" w:themeTint="99"/>
              </w:rPr>
              <w:t>orientation section I</w:t>
            </w:r>
          </w:p>
        </w:tc>
        <w:tc>
          <w:tcPr>
            <w:tcW w:w="1135" w:type="dxa"/>
          </w:tcPr>
          <w:p w14:paraId="7DE7E4CC" w14:textId="77777777" w:rsidR="009812D2" w:rsidRPr="009812D2" w:rsidRDefault="009812D2" w:rsidP="0018404F">
            <w:pPr>
              <w:pStyle w:val="Paragraphedeliste"/>
              <w:autoSpaceDE w:val="0"/>
              <w:autoSpaceDN w:val="0"/>
              <w:adjustRightInd w:val="0"/>
              <w:ind w:left="0"/>
              <w:contextualSpacing w:val="0"/>
              <w:cnfStyle w:val="000000000000" w:firstRow="0" w:lastRow="0" w:firstColumn="0" w:lastColumn="0" w:oddVBand="0" w:evenVBand="0" w:oddHBand="0" w:evenHBand="0" w:firstRowFirstColumn="0" w:firstRowLastColumn="0" w:lastRowFirstColumn="0" w:lastRowLastColumn="0"/>
              <w:rPr>
                <w:color w:val="45B0E1" w:themeColor="accent1" w:themeTint="99"/>
              </w:rPr>
            </w:pPr>
            <w:r w:rsidRPr="009812D2">
              <w:rPr>
                <w:color w:val="45B0E1" w:themeColor="accent1" w:themeTint="99"/>
              </w:rPr>
              <w:t>5 crédits</w:t>
            </w:r>
          </w:p>
        </w:tc>
      </w:tr>
      <w:tr w:rsidR="005E0B1A" w:rsidRPr="00057D97" w14:paraId="0842EBF2" w14:textId="77777777" w:rsidTr="00C630B4">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8505" w:type="dxa"/>
            <w:gridSpan w:val="3"/>
          </w:tcPr>
          <w:p w14:paraId="2D6C8700" w14:textId="77777777" w:rsidR="005E0B1A" w:rsidRDefault="005E0B1A" w:rsidP="005E0B1A">
            <w:pPr>
              <w:pStyle w:val="Paragraphedeliste"/>
              <w:autoSpaceDE w:val="0"/>
              <w:autoSpaceDN w:val="0"/>
              <w:adjustRightInd w:val="0"/>
              <w:ind w:left="0"/>
              <w:contextualSpacing w:val="0"/>
              <w:rPr>
                <w:b w:val="0"/>
                <w:bCs w:val="0"/>
              </w:rPr>
            </w:pPr>
          </w:p>
          <w:p w14:paraId="18AEE2E3" w14:textId="165287A0" w:rsidR="005E0B1A" w:rsidRPr="00057D97" w:rsidRDefault="005E0B1A" w:rsidP="00BE113D">
            <w:pPr>
              <w:pStyle w:val="Paragraphedeliste"/>
              <w:autoSpaceDE w:val="0"/>
              <w:autoSpaceDN w:val="0"/>
              <w:adjustRightInd w:val="0"/>
              <w:ind w:left="0"/>
              <w:contextualSpacing w:val="0"/>
              <w:jc w:val="center"/>
            </w:pPr>
            <w:r w:rsidRPr="00057D97">
              <w:t xml:space="preserve">Soit un total de </w:t>
            </w:r>
            <w:r w:rsidR="00E91D85">
              <w:t>3</w:t>
            </w:r>
            <w:r>
              <w:t>5</w:t>
            </w:r>
            <w:r w:rsidRPr="00057D97">
              <w:t xml:space="preserve"> crédits complémentaires</w:t>
            </w:r>
          </w:p>
        </w:tc>
      </w:tr>
    </w:tbl>
    <w:p w14:paraId="52D1724B" w14:textId="77777777" w:rsidR="002F3684" w:rsidRDefault="002F3684" w:rsidP="002F3684">
      <w:pPr>
        <w:autoSpaceDE w:val="0"/>
        <w:autoSpaceDN w:val="0"/>
        <w:adjustRightInd w:val="0"/>
        <w:spacing w:after="120"/>
        <w:jc w:val="both"/>
      </w:pPr>
    </w:p>
    <w:p w14:paraId="0A624F5A" w14:textId="0720C501" w:rsidR="009812D2" w:rsidRDefault="009812D2" w:rsidP="002F3684">
      <w:pPr>
        <w:autoSpaceDE w:val="0"/>
        <w:autoSpaceDN w:val="0"/>
        <w:adjustRightInd w:val="0"/>
        <w:spacing w:after="120"/>
        <w:jc w:val="both"/>
      </w:pPr>
      <w:r>
        <w:t xml:space="preserve">Ce programme complémentaire de </w:t>
      </w:r>
      <w:r w:rsidR="00E91D85">
        <w:t>35</w:t>
      </w:r>
      <w:r>
        <w:t xml:space="preserve"> crédits vient s’ajouter aux 120 crédits du master choisi (en presse et information spécialisées, en communication appliquée RP, Pub ou ASCEP) pour les étudiants provenant d’un premier cycle de type court (dispensé en haute école).</w:t>
      </w:r>
    </w:p>
    <w:p w14:paraId="788AD827" w14:textId="59D8E055" w:rsidR="009812D2" w:rsidRPr="007B779E" w:rsidRDefault="009812D2" w:rsidP="002F3684">
      <w:pPr>
        <w:autoSpaceDE w:val="0"/>
        <w:autoSpaceDN w:val="0"/>
        <w:adjustRightInd w:val="0"/>
        <w:spacing w:after="120"/>
        <w:jc w:val="both"/>
      </w:pPr>
      <w:r w:rsidRPr="007B779E">
        <w:t>Aux conditions prévues à l’article 117 du décret du 7 novembre 2013, les étudiants qui auraient déjà acquis dans le cadre d'études préalables</w:t>
      </w:r>
      <w:r>
        <w:t xml:space="preserve"> des compétences similaires peuvent les faire valoriser : ils sont alors dispensés des parties correspondantes du programme complémentaire.</w:t>
      </w:r>
    </w:p>
    <w:p w14:paraId="019353AC" w14:textId="77777777" w:rsidR="009812D2" w:rsidRDefault="009812D2" w:rsidP="009812D2"/>
    <w:p w14:paraId="0BFD9892" w14:textId="77777777" w:rsidR="009812D2" w:rsidRDefault="009812D2" w:rsidP="009812D2"/>
    <w:p w14:paraId="58C1F66C" w14:textId="7729BC58" w:rsidR="009812D2" w:rsidRPr="00C630B4" w:rsidRDefault="009812D2" w:rsidP="00C630B4"/>
    <w:sectPr w:rsidR="009812D2" w:rsidRPr="00C630B4" w:rsidSect="009812D2">
      <w:footerReference w:type="even" r:id="rId8"/>
      <w:footerReference w:type="default" r:id="rId9"/>
      <w:pgSz w:w="11900" w:h="16840"/>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AA9B" w14:textId="77777777" w:rsidR="005B1D85" w:rsidRDefault="005B1D85" w:rsidP="009812D2">
      <w:r>
        <w:separator/>
      </w:r>
    </w:p>
  </w:endnote>
  <w:endnote w:type="continuationSeparator" w:id="0">
    <w:p w14:paraId="5DE732E1" w14:textId="77777777" w:rsidR="005B1D85" w:rsidRDefault="005B1D85" w:rsidP="0098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5826552"/>
      <w:docPartObj>
        <w:docPartGallery w:val="Page Numbers (Bottom of Page)"/>
        <w:docPartUnique/>
      </w:docPartObj>
    </w:sdtPr>
    <w:sdtEndPr>
      <w:rPr>
        <w:rStyle w:val="Numrodepage"/>
      </w:rPr>
    </w:sdtEndPr>
    <w:sdtContent>
      <w:p w14:paraId="55C18697" w14:textId="77777777" w:rsidR="00D03F46" w:rsidRDefault="00D03F46" w:rsidP="00AB21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C552372" w14:textId="77777777" w:rsidR="00D03F46" w:rsidRDefault="00D03F46" w:rsidP="00E46DD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30660781"/>
      <w:docPartObj>
        <w:docPartGallery w:val="Page Numbers (Bottom of Page)"/>
        <w:docPartUnique/>
      </w:docPartObj>
    </w:sdtPr>
    <w:sdtEndPr>
      <w:rPr>
        <w:rStyle w:val="Numrodepage"/>
      </w:rPr>
    </w:sdtEndPr>
    <w:sdtContent>
      <w:p w14:paraId="0349F64A" w14:textId="77777777" w:rsidR="00D03F46" w:rsidRDefault="00D03F46" w:rsidP="00AB21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77A28E2" w14:textId="4EFF4EAC" w:rsidR="00D03F46" w:rsidRDefault="00D03F46" w:rsidP="00E46DD0">
    <w:pPr>
      <w:pStyle w:val="Pieddepage"/>
      <w:ind w:right="360"/>
    </w:pPr>
    <w:r>
      <w:rPr>
        <w:noProof/>
      </w:rPr>
      <w:drawing>
        <wp:inline distT="0" distB="0" distL="0" distR="0" wp14:anchorId="111B2559" wp14:editId="59748F1D">
          <wp:extent cx="997527" cy="494692"/>
          <wp:effectExtent l="0" t="0" r="635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47785" cy="519616"/>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38AB" w14:textId="77777777" w:rsidR="005B1D85" w:rsidRDefault="005B1D85" w:rsidP="009812D2">
      <w:r>
        <w:separator/>
      </w:r>
    </w:p>
  </w:footnote>
  <w:footnote w:type="continuationSeparator" w:id="0">
    <w:p w14:paraId="1CBE018C" w14:textId="77777777" w:rsidR="005B1D85" w:rsidRDefault="005B1D85" w:rsidP="00981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49E"/>
    <w:multiLevelType w:val="hybridMultilevel"/>
    <w:tmpl w:val="9F48004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940B23"/>
    <w:multiLevelType w:val="hybridMultilevel"/>
    <w:tmpl w:val="F75E8FEC"/>
    <w:lvl w:ilvl="0" w:tplc="1870EEEA">
      <w:start w:val="7"/>
      <w:numFmt w:val="bullet"/>
      <w:lvlText w:val="-"/>
      <w:lvlJc w:val="left"/>
      <w:pPr>
        <w:ind w:left="1287" w:hanging="360"/>
      </w:pPr>
      <w:rPr>
        <w:rFonts w:ascii="Calibri" w:eastAsia="Cambria" w:hAnsi="Calibri"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B563655"/>
    <w:multiLevelType w:val="hybridMultilevel"/>
    <w:tmpl w:val="3904B346"/>
    <w:lvl w:ilvl="0" w:tplc="1870EEEA">
      <w:start w:val="7"/>
      <w:numFmt w:val="bullet"/>
      <w:lvlText w:val="-"/>
      <w:lvlJc w:val="left"/>
      <w:pPr>
        <w:ind w:left="1026" w:hanging="360"/>
      </w:pPr>
      <w:rPr>
        <w:rFonts w:ascii="Calibri" w:eastAsia="Cambria" w:hAnsi="Calibri" w:cs="Times New Roman" w:hint="default"/>
      </w:rPr>
    </w:lvl>
    <w:lvl w:ilvl="1" w:tplc="080C0003">
      <w:start w:val="1"/>
      <w:numFmt w:val="bullet"/>
      <w:lvlText w:val="o"/>
      <w:lvlJc w:val="left"/>
      <w:pPr>
        <w:ind w:left="1746" w:hanging="360"/>
      </w:pPr>
      <w:rPr>
        <w:rFonts w:ascii="Courier New" w:hAnsi="Courier New" w:cs="Courier New" w:hint="default"/>
      </w:rPr>
    </w:lvl>
    <w:lvl w:ilvl="2" w:tplc="080C0005">
      <w:start w:val="1"/>
      <w:numFmt w:val="bullet"/>
      <w:lvlText w:val=""/>
      <w:lvlJc w:val="left"/>
      <w:pPr>
        <w:ind w:left="2466" w:hanging="360"/>
      </w:pPr>
      <w:rPr>
        <w:rFonts w:ascii="Wingdings" w:hAnsi="Wingdings" w:hint="default"/>
      </w:rPr>
    </w:lvl>
    <w:lvl w:ilvl="3" w:tplc="080C0001" w:tentative="1">
      <w:start w:val="1"/>
      <w:numFmt w:val="bullet"/>
      <w:lvlText w:val=""/>
      <w:lvlJc w:val="left"/>
      <w:pPr>
        <w:ind w:left="3186" w:hanging="360"/>
      </w:pPr>
      <w:rPr>
        <w:rFonts w:ascii="Symbol" w:hAnsi="Symbol" w:hint="default"/>
      </w:rPr>
    </w:lvl>
    <w:lvl w:ilvl="4" w:tplc="080C0003" w:tentative="1">
      <w:start w:val="1"/>
      <w:numFmt w:val="bullet"/>
      <w:lvlText w:val="o"/>
      <w:lvlJc w:val="left"/>
      <w:pPr>
        <w:ind w:left="3906" w:hanging="360"/>
      </w:pPr>
      <w:rPr>
        <w:rFonts w:ascii="Courier New" w:hAnsi="Courier New" w:cs="Courier New" w:hint="default"/>
      </w:rPr>
    </w:lvl>
    <w:lvl w:ilvl="5" w:tplc="080C0005" w:tentative="1">
      <w:start w:val="1"/>
      <w:numFmt w:val="bullet"/>
      <w:lvlText w:val=""/>
      <w:lvlJc w:val="left"/>
      <w:pPr>
        <w:ind w:left="4626" w:hanging="360"/>
      </w:pPr>
      <w:rPr>
        <w:rFonts w:ascii="Wingdings" w:hAnsi="Wingdings" w:hint="default"/>
      </w:rPr>
    </w:lvl>
    <w:lvl w:ilvl="6" w:tplc="080C0001" w:tentative="1">
      <w:start w:val="1"/>
      <w:numFmt w:val="bullet"/>
      <w:lvlText w:val=""/>
      <w:lvlJc w:val="left"/>
      <w:pPr>
        <w:ind w:left="5346" w:hanging="360"/>
      </w:pPr>
      <w:rPr>
        <w:rFonts w:ascii="Symbol" w:hAnsi="Symbol" w:hint="default"/>
      </w:rPr>
    </w:lvl>
    <w:lvl w:ilvl="7" w:tplc="080C0003" w:tentative="1">
      <w:start w:val="1"/>
      <w:numFmt w:val="bullet"/>
      <w:lvlText w:val="o"/>
      <w:lvlJc w:val="left"/>
      <w:pPr>
        <w:ind w:left="6066" w:hanging="360"/>
      </w:pPr>
      <w:rPr>
        <w:rFonts w:ascii="Courier New" w:hAnsi="Courier New" w:cs="Courier New" w:hint="default"/>
      </w:rPr>
    </w:lvl>
    <w:lvl w:ilvl="8" w:tplc="080C0005" w:tentative="1">
      <w:start w:val="1"/>
      <w:numFmt w:val="bullet"/>
      <w:lvlText w:val=""/>
      <w:lvlJc w:val="left"/>
      <w:pPr>
        <w:ind w:left="6786" w:hanging="360"/>
      </w:pPr>
      <w:rPr>
        <w:rFonts w:ascii="Wingdings" w:hAnsi="Wingdings" w:hint="default"/>
      </w:rPr>
    </w:lvl>
  </w:abstractNum>
  <w:abstractNum w:abstractNumId="3" w15:restartNumberingAfterBreak="0">
    <w:nsid w:val="31682C4A"/>
    <w:multiLevelType w:val="hybridMultilevel"/>
    <w:tmpl w:val="D092EF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3591BAE"/>
    <w:multiLevelType w:val="hybridMultilevel"/>
    <w:tmpl w:val="213672E8"/>
    <w:lvl w:ilvl="0" w:tplc="1870EEEA">
      <w:start w:val="7"/>
      <w:numFmt w:val="bullet"/>
      <w:lvlText w:val="-"/>
      <w:lvlJc w:val="left"/>
      <w:pPr>
        <w:ind w:left="1287" w:hanging="360"/>
      </w:pPr>
      <w:rPr>
        <w:rFonts w:ascii="Calibri" w:eastAsia="Cambria" w:hAnsi="Calibri"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51121394">
    <w:abstractNumId w:val="3"/>
  </w:num>
  <w:num w:numId="2" w16cid:durableId="295070619">
    <w:abstractNumId w:val="2"/>
  </w:num>
  <w:num w:numId="3" w16cid:durableId="485515787">
    <w:abstractNumId w:val="1"/>
  </w:num>
  <w:num w:numId="4" w16cid:durableId="2114468367">
    <w:abstractNumId w:val="4"/>
  </w:num>
  <w:num w:numId="5" w16cid:durableId="206694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D2"/>
    <w:rsid w:val="00047B24"/>
    <w:rsid w:val="00086948"/>
    <w:rsid w:val="0019065B"/>
    <w:rsid w:val="002353D2"/>
    <w:rsid w:val="002F3684"/>
    <w:rsid w:val="003236EF"/>
    <w:rsid w:val="00412916"/>
    <w:rsid w:val="004D6E08"/>
    <w:rsid w:val="004F015F"/>
    <w:rsid w:val="005010CF"/>
    <w:rsid w:val="00546388"/>
    <w:rsid w:val="005A7C75"/>
    <w:rsid w:val="005B1D85"/>
    <w:rsid w:val="005D53AD"/>
    <w:rsid w:val="005E0B1A"/>
    <w:rsid w:val="00631AC8"/>
    <w:rsid w:val="006A2596"/>
    <w:rsid w:val="00771F72"/>
    <w:rsid w:val="007D785D"/>
    <w:rsid w:val="00801BAD"/>
    <w:rsid w:val="008211E7"/>
    <w:rsid w:val="008521FF"/>
    <w:rsid w:val="0086418E"/>
    <w:rsid w:val="008C0060"/>
    <w:rsid w:val="009812D2"/>
    <w:rsid w:val="00990860"/>
    <w:rsid w:val="00AE282C"/>
    <w:rsid w:val="00BE113D"/>
    <w:rsid w:val="00BF5D44"/>
    <w:rsid w:val="00C16CF8"/>
    <w:rsid w:val="00C630B4"/>
    <w:rsid w:val="00D03F46"/>
    <w:rsid w:val="00D566BD"/>
    <w:rsid w:val="00DB36E5"/>
    <w:rsid w:val="00E72071"/>
    <w:rsid w:val="00E91D85"/>
    <w:rsid w:val="00EE6D04"/>
    <w:rsid w:val="00F618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DC3F"/>
  <w15:chartTrackingRefBased/>
  <w15:docId w15:val="{1F98344C-8E32-4CDF-931B-5C5DEB6B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D2"/>
    <w:pPr>
      <w:spacing w:after="0" w:line="240" w:lineRule="auto"/>
    </w:pPr>
    <w:rPr>
      <w:sz w:val="24"/>
      <w:szCs w:val="24"/>
      <w:lang w:val="fr-FR"/>
    </w:rPr>
  </w:style>
  <w:style w:type="paragraph" w:styleId="Titre1">
    <w:name w:val="heading 1"/>
    <w:basedOn w:val="Normal"/>
    <w:next w:val="Normal"/>
    <w:link w:val="Titre1Car"/>
    <w:uiPriority w:val="1"/>
    <w:qFormat/>
    <w:rsid w:val="0098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98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
    <w:unhideWhenUsed/>
    <w:qFormat/>
    <w:rsid w:val="009812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1"/>
    <w:unhideWhenUsed/>
    <w:qFormat/>
    <w:rsid w:val="009812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12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1"/>
    <w:unhideWhenUsed/>
    <w:qFormat/>
    <w:rsid w:val="009812D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1"/>
    <w:unhideWhenUsed/>
    <w:qFormat/>
    <w:rsid w:val="009812D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9812D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
    <w:unhideWhenUsed/>
    <w:qFormat/>
    <w:rsid w:val="009812D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812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9812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12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12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12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12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12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12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12D2"/>
    <w:rPr>
      <w:rFonts w:eastAsiaTheme="majorEastAsia" w:cstheme="majorBidi"/>
      <w:color w:val="272727" w:themeColor="text1" w:themeTint="D8"/>
    </w:rPr>
  </w:style>
  <w:style w:type="paragraph" w:styleId="Titre">
    <w:name w:val="Title"/>
    <w:basedOn w:val="Normal"/>
    <w:next w:val="Normal"/>
    <w:link w:val="TitreCar"/>
    <w:uiPriority w:val="10"/>
    <w:qFormat/>
    <w:rsid w:val="009812D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12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12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12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12D2"/>
    <w:pPr>
      <w:spacing w:before="160"/>
      <w:jc w:val="center"/>
    </w:pPr>
    <w:rPr>
      <w:i/>
      <w:iCs/>
      <w:color w:val="404040" w:themeColor="text1" w:themeTint="BF"/>
    </w:rPr>
  </w:style>
  <w:style w:type="character" w:customStyle="1" w:styleId="CitationCar">
    <w:name w:val="Citation Car"/>
    <w:basedOn w:val="Policepardfaut"/>
    <w:link w:val="Citation"/>
    <w:uiPriority w:val="29"/>
    <w:rsid w:val="009812D2"/>
    <w:rPr>
      <w:i/>
      <w:iCs/>
      <w:color w:val="404040" w:themeColor="text1" w:themeTint="BF"/>
    </w:rPr>
  </w:style>
  <w:style w:type="paragraph" w:styleId="Paragraphedeliste">
    <w:name w:val="List Paragraph"/>
    <w:basedOn w:val="Normal"/>
    <w:uiPriority w:val="34"/>
    <w:qFormat/>
    <w:rsid w:val="009812D2"/>
    <w:pPr>
      <w:ind w:left="720"/>
      <w:contextualSpacing/>
    </w:pPr>
  </w:style>
  <w:style w:type="character" w:styleId="Accentuationintense">
    <w:name w:val="Intense Emphasis"/>
    <w:basedOn w:val="Policepardfaut"/>
    <w:uiPriority w:val="21"/>
    <w:qFormat/>
    <w:rsid w:val="009812D2"/>
    <w:rPr>
      <w:i/>
      <w:iCs/>
      <w:color w:val="0F4761" w:themeColor="accent1" w:themeShade="BF"/>
    </w:rPr>
  </w:style>
  <w:style w:type="paragraph" w:styleId="Citationintense">
    <w:name w:val="Intense Quote"/>
    <w:basedOn w:val="Normal"/>
    <w:next w:val="Normal"/>
    <w:link w:val="CitationintenseCar"/>
    <w:uiPriority w:val="30"/>
    <w:qFormat/>
    <w:rsid w:val="0098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12D2"/>
    <w:rPr>
      <w:i/>
      <w:iCs/>
      <w:color w:val="0F4761" w:themeColor="accent1" w:themeShade="BF"/>
    </w:rPr>
  </w:style>
  <w:style w:type="character" w:styleId="Rfrenceintense">
    <w:name w:val="Intense Reference"/>
    <w:basedOn w:val="Policepardfaut"/>
    <w:uiPriority w:val="32"/>
    <w:qFormat/>
    <w:rsid w:val="009812D2"/>
    <w:rPr>
      <w:b/>
      <w:bCs/>
      <w:smallCaps/>
      <w:color w:val="0F4761" w:themeColor="accent1" w:themeShade="BF"/>
      <w:spacing w:val="5"/>
    </w:rPr>
  </w:style>
  <w:style w:type="table" w:styleId="Grilledutableau">
    <w:name w:val="Table Grid"/>
    <w:basedOn w:val="TableauNormal"/>
    <w:uiPriority w:val="59"/>
    <w:rsid w:val="0098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812D2"/>
    <w:pPr>
      <w:tabs>
        <w:tab w:val="center" w:pos="4536"/>
        <w:tab w:val="right" w:pos="9072"/>
      </w:tabs>
    </w:pPr>
  </w:style>
  <w:style w:type="character" w:customStyle="1" w:styleId="PieddepageCar">
    <w:name w:val="Pied de page Car"/>
    <w:basedOn w:val="Policepardfaut"/>
    <w:link w:val="Pieddepage"/>
    <w:uiPriority w:val="99"/>
    <w:rsid w:val="009812D2"/>
    <w:rPr>
      <w:sz w:val="24"/>
      <w:szCs w:val="24"/>
      <w:lang w:val="fr-FR"/>
    </w:rPr>
  </w:style>
  <w:style w:type="character" w:styleId="Numrodepage">
    <w:name w:val="page number"/>
    <w:basedOn w:val="Policepardfaut"/>
    <w:uiPriority w:val="99"/>
    <w:semiHidden/>
    <w:unhideWhenUsed/>
    <w:rsid w:val="009812D2"/>
  </w:style>
  <w:style w:type="paragraph" w:styleId="En-tte">
    <w:name w:val="header"/>
    <w:basedOn w:val="Normal"/>
    <w:link w:val="En-tteCar"/>
    <w:uiPriority w:val="99"/>
    <w:unhideWhenUsed/>
    <w:rsid w:val="009812D2"/>
    <w:pPr>
      <w:tabs>
        <w:tab w:val="center" w:pos="4536"/>
        <w:tab w:val="right" w:pos="9072"/>
      </w:tabs>
    </w:pPr>
  </w:style>
  <w:style w:type="character" w:customStyle="1" w:styleId="En-tteCar">
    <w:name w:val="En-tête Car"/>
    <w:basedOn w:val="Policepardfaut"/>
    <w:link w:val="En-tte"/>
    <w:uiPriority w:val="99"/>
    <w:rsid w:val="009812D2"/>
    <w:rPr>
      <w:sz w:val="24"/>
      <w:szCs w:val="24"/>
      <w:lang w:val="fr-FR"/>
    </w:rPr>
  </w:style>
  <w:style w:type="table" w:styleId="TableauListe2">
    <w:name w:val="List Table 2"/>
    <w:basedOn w:val="TableauNormal"/>
    <w:uiPriority w:val="47"/>
    <w:rsid w:val="000869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38E6-CE45-4A7F-9266-BF97ED09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IHECS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CALISIR</dc:creator>
  <cp:keywords/>
  <dc:description/>
  <cp:lastModifiedBy>Tugba CALISIR</cp:lastModifiedBy>
  <cp:revision>4</cp:revision>
  <cp:lastPrinted>2026-05-29T09:16:00Z</cp:lastPrinted>
  <dcterms:created xsi:type="dcterms:W3CDTF">2026-06-01T13:17:00Z</dcterms:created>
  <dcterms:modified xsi:type="dcterms:W3CDTF">2026-06-01T20:13:00Z</dcterms:modified>
</cp:coreProperties>
</file>